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EEF4"/>
  <w:body>
    <w:p>
      <w:pPr>
        <w:snapToGrid w:val="0"/>
        <w:spacing w:line="520" w:lineRule="exact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napToGrid w:val="0"/>
        <w:spacing w:before="312" w:beforeLines="100" w:line="52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四川省社会科学重点研究基地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四川省农村发展研究中心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2019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年项目申报公告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根据《四川省哲学社会科学重点研究基地管理办法（试行）》和《四川省教育厅人文社会科学重点研究基地管理办法》的有关规定，四川省社会科学重点研究基地“四川省农村发展研究中心”《</w:t>
      </w:r>
      <w:r>
        <w:rPr>
          <w:rFonts w:ascii="仿宋_GB2312" w:hAnsi="仿宋" w:eastAsia="仿宋_GB2312" w:cs="仿宋_GB2312"/>
          <w:sz w:val="28"/>
          <w:szCs w:val="28"/>
        </w:rPr>
        <w:t>2019</w:t>
      </w:r>
      <w:r>
        <w:rPr>
          <w:rFonts w:hint="eastAsia" w:ascii="仿宋_GB2312" w:hAnsi="仿宋" w:eastAsia="仿宋_GB2312" w:cs="仿宋_GB2312"/>
          <w:sz w:val="28"/>
          <w:szCs w:val="28"/>
        </w:rPr>
        <w:t>年项目申报指南》经审定发布，申报工作即日起启动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。现将有关事宜公告如下：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课题项目立项指导思想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坚持以马克思列宁主义、毛泽东思想、邓小平理论、“三个代表”重要思想、科学发展观、习近平新时代中国特色社会主义思想为指导，全面贯彻党的十九大、省委第十一次党代会和省委十一届三次、四次全会精神，以我省重大现实问题为主攻方向，发挥重点研究基地的引导作用，推动社会科学为我省农业农村工作大局服务。围绕深化农村改革、乡村振兴战略、农村精准脱贫、生态文明建设等重大理论与现实问题，加强理论创新与实证研究，为省委省政府决策服务。</w:t>
      </w:r>
    </w:p>
    <w:p>
      <w:pPr>
        <w:spacing w:line="560" w:lineRule="exact"/>
        <w:ind w:firstLine="562" w:firstLineChars="200"/>
        <w:rPr>
          <w:rFonts w:ascii="仿宋_GB2312" w:hAnsi="仿宋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二、项目类别与资助额度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研究项目分重点项目、一般项目和青年项目，其中重点项目不超过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项，每项资助</w:t>
      </w:r>
      <w:r>
        <w:rPr>
          <w:rFonts w:ascii="仿宋_GB2312" w:hAnsi="仿宋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万元；一般项目不超过</w:t>
      </w:r>
      <w:r>
        <w:rPr>
          <w:rFonts w:ascii="仿宋_GB2312" w:hAnsi="仿宋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项，每项资助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万元；青年项目不超过</w:t>
      </w:r>
      <w:r>
        <w:rPr>
          <w:rFonts w:ascii="仿宋_GB2312" w:hAnsi="仿宋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项，每项资助</w:t>
      </w:r>
      <w:r>
        <w:rPr>
          <w:rFonts w:ascii="仿宋_GB2312" w:hAnsi="仿宋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万元。青年项目限</w:t>
      </w:r>
      <w:r>
        <w:rPr>
          <w:rFonts w:ascii="仿宋_GB2312" w:hAnsi="仿宋" w:eastAsia="仿宋_GB2312" w:cs="仿宋_GB2312"/>
          <w:kern w:val="0"/>
          <w:sz w:val="28"/>
          <w:szCs w:val="28"/>
        </w:rPr>
        <w:t>35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岁以下人员申报（计算日期截止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2019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年</w:t>
      </w:r>
      <w:r>
        <w:rPr>
          <w:rFonts w:ascii="仿宋_GB2312" w:hAnsi="仿宋" w:eastAsia="仿宋_GB2312" w:cs="仿宋_GB2312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）。</w:t>
      </w:r>
    </w:p>
    <w:p>
      <w:pPr>
        <w:spacing w:line="560" w:lineRule="exact"/>
        <w:ind w:firstLine="562" w:firstLineChars="200"/>
        <w:rPr>
          <w:rFonts w:hint="eastAsia" w:ascii="仿宋_GB2312" w:hAnsi="仿宋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、项目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  <w:t>申报方式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项目申报指南、申请书等请从四川省农村发展研究中心网站（</w:t>
      </w:r>
      <w:r>
        <w:rPr>
          <w:rFonts w:ascii="仿宋_GB2312" w:hAnsi="仿宋" w:eastAsia="仿宋_GB2312" w:cs="仿宋_GB2312"/>
          <w:kern w:val="0"/>
          <w:sz w:val="28"/>
          <w:szCs w:val="28"/>
        </w:rPr>
        <w:t>http://scrdr.sicau.edu.cn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）下载。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四、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  <w:t>项目申报要求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项目申报人所在单位科研管理部门须严格把关，依据《四川省教育厅人文社会科学项目管理方法》对申请人进行资格审查。以下情况不能申报：以相近或相同选题已申报立项的省社科规划项目、科技厅项目、教育厅项目或其他省级人文社科重点基地项目者，以及本中心项目尚未通过结题审批者；获四川农业大学“双支计划”资助或主持学校社科联项目者。一经发现有不诚信行为，将取消项目，三年内不受理申报，并报教育厅科技处备案。</w:t>
      </w:r>
    </w:p>
    <w:p>
      <w:pPr>
        <w:spacing w:line="560" w:lineRule="exact"/>
        <w:ind w:firstLine="562" w:firstLineChars="200"/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五、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  <w:t>项目结项要求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项目一般要求在两年内完成，鼓励提前完成。最终成果形式为与研究主题高度相关的研究报告、学术论文和</w:t>
      </w:r>
      <w:r>
        <w:rPr>
          <w:rFonts w:ascii="仿宋_GB2312" w:hAnsi="仿宋" w:eastAsia="仿宋_GB2312" w:cs="仿宋_GB2312"/>
          <w:kern w:val="0"/>
          <w:sz w:val="28"/>
          <w:szCs w:val="28"/>
        </w:rPr>
        <w:t>3000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字左右成果要报（重点说明研究背景、问题分析和对策建议）。结题基本要求：</w:t>
      </w:r>
    </w:p>
    <w:p>
      <w:pPr>
        <w:spacing w:line="560" w:lineRule="exact"/>
        <w:ind w:firstLine="562" w:firstLineChars="200"/>
        <w:rPr>
          <w:rFonts w:ascii="仿宋_GB2312" w:hAnsi="仿宋" w:eastAsia="仿宋_GB2312"/>
          <w:b/>
          <w:bCs/>
          <w:kern w:val="0"/>
          <w:sz w:val="28"/>
          <w:szCs w:val="28"/>
        </w:rPr>
      </w:pPr>
      <w:r>
        <w:rPr>
          <w:rFonts w:ascii="仿宋_GB2312" w:hAnsi="仿宋" w:eastAsia="仿宋_GB2312" w:cs="仿宋_GB2312"/>
          <w:b/>
          <w:bCs/>
          <w:kern w:val="0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重点项目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满足以下条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件：①须在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收录期刊（来源刊）或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CSCD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核心版期刊上发表论文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篇以上，或在SCI、SSCI收录期刊发表论文1篇以上，且标注项目来源、项目编号和名称；或与研究主题直接相关的政策建议被国家社科规划办《成果要报》、教育部《专家建议》、省规划办《重要成果专报》采纳或获省部级领导批示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项；②完成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万字以上研究报告；③提交政策建议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份；</w:t>
      </w:r>
    </w:p>
    <w:p>
      <w:pPr>
        <w:spacing w:line="560" w:lineRule="exact"/>
        <w:ind w:firstLine="562" w:firstLineChars="200"/>
        <w:rPr>
          <w:rFonts w:ascii="仿宋_GB2312" w:hAnsi="仿宋" w:eastAsia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一般项目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满足以下条件：①在SCI、SSCI、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收录期刊（来源刊）或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CSCD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核心版期刊上发表论文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篇以上，且标注项目来源、项目编号和名称；或与研究主题直接相关的政策建议被国家社科规划办《成果要报》、教育部《专家建议》、省规划办《重要成果专报》采纳或获省部级领导批示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项；②完成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万字以上研究报告；③提交政策建议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份；</w:t>
      </w:r>
    </w:p>
    <w:p>
      <w:pPr>
        <w:spacing w:line="560" w:lineRule="exact"/>
        <w:ind w:firstLine="562" w:firstLineChars="200"/>
        <w:rPr>
          <w:rFonts w:ascii="仿宋_GB2312" w:hAnsi="仿宋" w:eastAsia="仿宋_GB2312"/>
          <w:b/>
          <w:bCs/>
          <w:kern w:val="0"/>
          <w:sz w:val="28"/>
          <w:szCs w:val="28"/>
        </w:rPr>
      </w:pPr>
      <w:r>
        <w:rPr>
          <w:rFonts w:ascii="仿宋_GB2312" w:hAnsi="仿宋" w:eastAsia="仿宋_GB2312" w:cs="仿宋_GB2312"/>
          <w:b/>
          <w:bCs/>
          <w:kern w:val="0"/>
          <w:sz w:val="28"/>
          <w:szCs w:val="28"/>
        </w:rPr>
        <w:t>3.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青年项目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满足下列条件之一：①满足一般项目结题要求；②在北大中文核心期刊发表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篇以上文章，并完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</w:t>
      </w:r>
      <w:r>
        <w:rPr>
          <w:rFonts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字以上的研究报告；提交政策建议</w:t>
      </w:r>
      <w:r>
        <w:rPr>
          <w:rFonts w:ascii="仿宋_GB2312" w:hAnsi="仿宋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份。</w:t>
      </w:r>
    </w:p>
    <w:p>
      <w:pPr>
        <w:spacing w:line="560" w:lineRule="exact"/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所有课题研究成果皆应注明“</w:t>
      </w:r>
      <w:r>
        <w:rPr>
          <w:rFonts w:hint="eastAsia" w:ascii="仿宋_GB2312" w:hAnsi="仿宋" w:eastAsia="仿宋_GB2312" w:cs="仿宋_GB2312"/>
          <w:sz w:val="28"/>
          <w:szCs w:val="28"/>
        </w:rPr>
        <w:t>四川省农村发展研究中心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资助”字样，并标注项目名称和编号。</w:t>
      </w:r>
    </w:p>
    <w:p>
      <w:pPr>
        <w:spacing w:line="560" w:lineRule="exact"/>
        <w:ind w:firstLine="562" w:firstLineChars="200"/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六、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  <w:t>申报截止日期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本年度受理申报时间从即日起至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2019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年</w:t>
      </w:r>
      <w:r>
        <w:rPr>
          <w:rFonts w:ascii="仿宋_GB2312" w:hAnsi="仿宋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月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日截止。申报单位务必于截止日期前将申请书（一式</w:t>
      </w:r>
      <w:r>
        <w:rPr>
          <w:rFonts w:ascii="仿宋_GB2312" w:hAnsi="仿宋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份，</w:t>
      </w:r>
      <w:r>
        <w:rPr>
          <w:rFonts w:ascii="仿宋_GB2312" w:hAnsi="仿宋" w:eastAsia="仿宋_GB2312" w:cs="仿宋_GB2312"/>
          <w:kern w:val="0"/>
          <w:sz w:val="28"/>
          <w:szCs w:val="28"/>
        </w:rPr>
        <w:t>A3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双面打印、中缝装订）及电子版报送中心，逾期不再受理。</w:t>
      </w:r>
    </w:p>
    <w:p>
      <w:pPr>
        <w:spacing w:line="560" w:lineRule="exact"/>
        <w:rPr>
          <w:rFonts w:ascii="仿宋_GB2312" w:hAnsi="仿宋" w:eastAsia="仿宋_GB2312"/>
          <w:kern w:val="0"/>
          <w:sz w:val="28"/>
          <w:szCs w:val="28"/>
        </w:rPr>
      </w:pPr>
    </w:p>
    <w:p>
      <w:pPr>
        <w:spacing w:line="560" w:lineRule="exact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地</w:t>
      </w:r>
      <w:r>
        <w:rPr>
          <w:rFonts w:ascii="仿宋_GB2312" w:hAnsi="仿宋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址：成都市温江区惠民路</w:t>
      </w:r>
      <w:r>
        <w:rPr>
          <w:rFonts w:ascii="仿宋_GB2312" w:hAnsi="仿宋" w:eastAsia="仿宋_GB2312" w:cs="仿宋_GB2312"/>
          <w:kern w:val="0"/>
          <w:sz w:val="28"/>
          <w:szCs w:val="28"/>
        </w:rPr>
        <w:t>211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号（</w:t>
      </w:r>
      <w:r>
        <w:rPr>
          <w:rFonts w:ascii="仿宋_GB2312" w:hAnsi="仿宋" w:eastAsia="仿宋_GB2312" w:cs="仿宋_GB2312"/>
          <w:kern w:val="0"/>
          <w:sz w:val="28"/>
          <w:szCs w:val="28"/>
        </w:rPr>
        <w:t>611130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）</w:t>
      </w:r>
    </w:p>
    <w:p>
      <w:pPr>
        <w:spacing w:line="560" w:lineRule="exact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联系人：唐</w:t>
      </w:r>
      <w:r>
        <w:rPr>
          <w:rFonts w:ascii="仿宋_GB2312" w:hAnsi="仿宋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宏</w:t>
      </w:r>
    </w:p>
    <w:p>
      <w:pPr>
        <w:spacing w:line="560" w:lineRule="exact"/>
        <w:rPr>
          <w:rFonts w:ascii="仿宋_GB2312" w:hAnsi="仿宋" w:eastAsia="仿宋_GB2312" w:cs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电</w:t>
      </w:r>
      <w:r>
        <w:rPr>
          <w:rFonts w:ascii="仿宋_GB2312" w:hAnsi="仿宋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话：</w:t>
      </w:r>
      <w:r>
        <w:rPr>
          <w:rFonts w:ascii="仿宋_GB2312" w:hAnsi="仿宋" w:eastAsia="仿宋_GB2312" w:cs="仿宋_GB2312"/>
          <w:kern w:val="0"/>
          <w:sz w:val="28"/>
          <w:szCs w:val="28"/>
        </w:rPr>
        <w:t>028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－</w:t>
      </w:r>
      <w:r>
        <w:rPr>
          <w:rFonts w:ascii="仿宋_GB2312" w:hAnsi="仿宋" w:eastAsia="仿宋_GB2312" w:cs="仿宋_GB2312"/>
          <w:kern w:val="0"/>
          <w:sz w:val="28"/>
          <w:szCs w:val="28"/>
        </w:rPr>
        <w:t>86290892</w:t>
      </w:r>
    </w:p>
    <w:p>
      <w:pPr>
        <w:spacing w:line="560" w:lineRule="exact"/>
        <w:outlineLvl w:val="0"/>
      </w:pPr>
      <w:r>
        <w:rPr>
          <w:rFonts w:ascii="仿宋_GB2312" w:hAnsi="仿宋" w:eastAsia="仿宋_GB2312" w:cs="仿宋_GB2312"/>
          <w:kern w:val="0"/>
          <w:sz w:val="28"/>
          <w:szCs w:val="28"/>
        </w:rPr>
        <w:t>E-mail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：</w:t>
      </w:r>
      <w:r>
        <w:rPr>
          <w:rFonts w:ascii="仿宋_GB2312" w:hAnsi="仿宋" w:eastAsia="仿宋_GB2312" w:cs="仿宋_GB2312"/>
          <w:kern w:val="0"/>
          <w:sz w:val="28"/>
          <w:szCs w:val="28"/>
        </w:rPr>
        <w:t>scnfzx@163.com</w:t>
      </w:r>
    </w:p>
    <w:p>
      <w:pPr>
        <w:spacing w:line="560" w:lineRule="exact"/>
        <w:outlineLvl w:val="0"/>
        <w:rPr>
          <w:rFonts w:ascii="仿宋_GB2312" w:hAnsi="仿宋" w:eastAsia="仿宋_GB2312" w:cs="仿宋_GB2312"/>
          <w:kern w:val="0"/>
          <w:sz w:val="28"/>
          <w:szCs w:val="28"/>
        </w:rPr>
      </w:pPr>
      <w:r>
        <w:rPr>
          <w:rFonts w:ascii="仿宋_GB2312" w:hAnsi="仿宋" w:eastAsia="仿宋_GB2312" w:cs="仿宋_GB2312"/>
          <w:kern w:val="0"/>
          <w:sz w:val="28"/>
          <w:szCs w:val="28"/>
        </w:rPr>
        <w:t>http://scrdr.sicau.edu.cn</w:t>
      </w:r>
    </w:p>
    <w:p>
      <w:pPr>
        <w:outlineLvl w:val="0"/>
        <w:rPr>
          <w:rFonts w:ascii="仿宋_GB2312" w:hAnsi="仿宋" w:eastAsia="仿宋_GB2312"/>
          <w:kern w:val="0"/>
          <w:sz w:val="28"/>
          <w:szCs w:val="28"/>
        </w:rPr>
      </w:pPr>
    </w:p>
    <w:p>
      <w:pPr>
        <w:spacing w:before="312" w:beforeLines="100"/>
        <w:ind w:firstLine="4620" w:firstLineChars="1650"/>
        <w:outlineLvl w:val="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四川省农村发展研究中心</w:t>
      </w:r>
    </w:p>
    <w:p>
      <w:pPr>
        <w:ind w:firstLine="5040" w:firstLineChars="180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仿宋" w:eastAsia="仿宋_GB2312" w:cs="仿宋_GB2312"/>
          <w:kern w:val="0"/>
          <w:sz w:val="28"/>
          <w:szCs w:val="28"/>
        </w:rPr>
        <w:t>2019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年</w:t>
      </w:r>
      <w:r>
        <w:rPr>
          <w:rFonts w:ascii="仿宋_GB2312" w:hAnsi="仿宋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13E6"/>
    <w:multiLevelType w:val="singleLevel"/>
    <w:tmpl w:val="586F13E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D"/>
    <w:rsid w:val="00025864"/>
    <w:rsid w:val="00033C65"/>
    <w:rsid w:val="000364C1"/>
    <w:rsid w:val="0005567E"/>
    <w:rsid w:val="0008064B"/>
    <w:rsid w:val="000974BC"/>
    <w:rsid w:val="000D0586"/>
    <w:rsid w:val="00114C60"/>
    <w:rsid w:val="00131CAA"/>
    <w:rsid w:val="00134792"/>
    <w:rsid w:val="00137B56"/>
    <w:rsid w:val="00142B67"/>
    <w:rsid w:val="00144386"/>
    <w:rsid w:val="00174263"/>
    <w:rsid w:val="001B4944"/>
    <w:rsid w:val="001C19CA"/>
    <w:rsid w:val="001C3A91"/>
    <w:rsid w:val="001C63E1"/>
    <w:rsid w:val="001E039B"/>
    <w:rsid w:val="0022569F"/>
    <w:rsid w:val="0027580F"/>
    <w:rsid w:val="00276771"/>
    <w:rsid w:val="00291080"/>
    <w:rsid w:val="002A3EBF"/>
    <w:rsid w:val="002A5322"/>
    <w:rsid w:val="002B6A8B"/>
    <w:rsid w:val="002C2052"/>
    <w:rsid w:val="002D418C"/>
    <w:rsid w:val="002D6AD5"/>
    <w:rsid w:val="002D7A50"/>
    <w:rsid w:val="002E093A"/>
    <w:rsid w:val="002E1AFC"/>
    <w:rsid w:val="002F34ED"/>
    <w:rsid w:val="003246FB"/>
    <w:rsid w:val="003275DC"/>
    <w:rsid w:val="00335988"/>
    <w:rsid w:val="003449B4"/>
    <w:rsid w:val="00355E08"/>
    <w:rsid w:val="00361AD5"/>
    <w:rsid w:val="00382640"/>
    <w:rsid w:val="00382966"/>
    <w:rsid w:val="00384FC5"/>
    <w:rsid w:val="00393D71"/>
    <w:rsid w:val="00395E70"/>
    <w:rsid w:val="003D22FD"/>
    <w:rsid w:val="003F1FD1"/>
    <w:rsid w:val="003F58C8"/>
    <w:rsid w:val="004045C7"/>
    <w:rsid w:val="004104EF"/>
    <w:rsid w:val="00411463"/>
    <w:rsid w:val="00424CC2"/>
    <w:rsid w:val="00441476"/>
    <w:rsid w:val="004456EC"/>
    <w:rsid w:val="0044782C"/>
    <w:rsid w:val="00454784"/>
    <w:rsid w:val="004605D9"/>
    <w:rsid w:val="00461BD4"/>
    <w:rsid w:val="004673F0"/>
    <w:rsid w:val="00467D30"/>
    <w:rsid w:val="004778F5"/>
    <w:rsid w:val="00484FED"/>
    <w:rsid w:val="004875B4"/>
    <w:rsid w:val="004A35B9"/>
    <w:rsid w:val="004D4687"/>
    <w:rsid w:val="004E281A"/>
    <w:rsid w:val="004E7BD2"/>
    <w:rsid w:val="004F3706"/>
    <w:rsid w:val="005042C7"/>
    <w:rsid w:val="005201BB"/>
    <w:rsid w:val="00540D6E"/>
    <w:rsid w:val="00565701"/>
    <w:rsid w:val="005751C0"/>
    <w:rsid w:val="005B14BE"/>
    <w:rsid w:val="005E2600"/>
    <w:rsid w:val="005F498E"/>
    <w:rsid w:val="0060407F"/>
    <w:rsid w:val="006561CA"/>
    <w:rsid w:val="00656DA9"/>
    <w:rsid w:val="00665077"/>
    <w:rsid w:val="006701FB"/>
    <w:rsid w:val="00692D4A"/>
    <w:rsid w:val="006A4C08"/>
    <w:rsid w:val="006D1CCF"/>
    <w:rsid w:val="006D49FA"/>
    <w:rsid w:val="00705ACC"/>
    <w:rsid w:val="00721C02"/>
    <w:rsid w:val="00733EB6"/>
    <w:rsid w:val="007453A8"/>
    <w:rsid w:val="00746B4F"/>
    <w:rsid w:val="0075429E"/>
    <w:rsid w:val="00764D32"/>
    <w:rsid w:val="0078019D"/>
    <w:rsid w:val="0078270E"/>
    <w:rsid w:val="007930F6"/>
    <w:rsid w:val="007A5C7A"/>
    <w:rsid w:val="007C0773"/>
    <w:rsid w:val="007D5D5A"/>
    <w:rsid w:val="007F0A8E"/>
    <w:rsid w:val="008165D6"/>
    <w:rsid w:val="008539BD"/>
    <w:rsid w:val="00856201"/>
    <w:rsid w:val="0086187F"/>
    <w:rsid w:val="00875FAF"/>
    <w:rsid w:val="0088132F"/>
    <w:rsid w:val="008C1463"/>
    <w:rsid w:val="008D5B3F"/>
    <w:rsid w:val="008D7937"/>
    <w:rsid w:val="008D7ADA"/>
    <w:rsid w:val="008F14DE"/>
    <w:rsid w:val="0092569A"/>
    <w:rsid w:val="0092699D"/>
    <w:rsid w:val="009426E4"/>
    <w:rsid w:val="009719C7"/>
    <w:rsid w:val="00972354"/>
    <w:rsid w:val="0097797D"/>
    <w:rsid w:val="0098164D"/>
    <w:rsid w:val="00984817"/>
    <w:rsid w:val="00987D49"/>
    <w:rsid w:val="009A5724"/>
    <w:rsid w:val="009C21E2"/>
    <w:rsid w:val="009D564A"/>
    <w:rsid w:val="009E306C"/>
    <w:rsid w:val="009E4D82"/>
    <w:rsid w:val="009F20C8"/>
    <w:rsid w:val="00A2382C"/>
    <w:rsid w:val="00A2535A"/>
    <w:rsid w:val="00A349E9"/>
    <w:rsid w:val="00A4089E"/>
    <w:rsid w:val="00A42C1D"/>
    <w:rsid w:val="00A4436E"/>
    <w:rsid w:val="00A61307"/>
    <w:rsid w:val="00A632A7"/>
    <w:rsid w:val="00A678A9"/>
    <w:rsid w:val="00AA0410"/>
    <w:rsid w:val="00B0171D"/>
    <w:rsid w:val="00B16738"/>
    <w:rsid w:val="00B244F7"/>
    <w:rsid w:val="00B355DF"/>
    <w:rsid w:val="00B423FA"/>
    <w:rsid w:val="00B46E2A"/>
    <w:rsid w:val="00B50D1B"/>
    <w:rsid w:val="00B67DB7"/>
    <w:rsid w:val="00BD319D"/>
    <w:rsid w:val="00C07074"/>
    <w:rsid w:val="00C110BB"/>
    <w:rsid w:val="00C174C6"/>
    <w:rsid w:val="00C22EC8"/>
    <w:rsid w:val="00C24DE7"/>
    <w:rsid w:val="00C619C8"/>
    <w:rsid w:val="00C6764A"/>
    <w:rsid w:val="00C701D1"/>
    <w:rsid w:val="00C721F9"/>
    <w:rsid w:val="00C94355"/>
    <w:rsid w:val="00C97293"/>
    <w:rsid w:val="00CA505B"/>
    <w:rsid w:val="00CB1716"/>
    <w:rsid w:val="00CB5773"/>
    <w:rsid w:val="00CC5AE8"/>
    <w:rsid w:val="00CE1F4B"/>
    <w:rsid w:val="00CE4E1B"/>
    <w:rsid w:val="00D00BA6"/>
    <w:rsid w:val="00D06642"/>
    <w:rsid w:val="00D11209"/>
    <w:rsid w:val="00D11E9B"/>
    <w:rsid w:val="00D449A7"/>
    <w:rsid w:val="00D56DD6"/>
    <w:rsid w:val="00D72324"/>
    <w:rsid w:val="00D9164C"/>
    <w:rsid w:val="00DC0F27"/>
    <w:rsid w:val="00DE13F9"/>
    <w:rsid w:val="00DF4334"/>
    <w:rsid w:val="00E0625B"/>
    <w:rsid w:val="00E10D5E"/>
    <w:rsid w:val="00E1717D"/>
    <w:rsid w:val="00E23758"/>
    <w:rsid w:val="00E51A53"/>
    <w:rsid w:val="00E82FFE"/>
    <w:rsid w:val="00EA2ADB"/>
    <w:rsid w:val="00EA4D94"/>
    <w:rsid w:val="00EB1DD7"/>
    <w:rsid w:val="00EB4024"/>
    <w:rsid w:val="00ED0E44"/>
    <w:rsid w:val="00EE0543"/>
    <w:rsid w:val="00F05CAD"/>
    <w:rsid w:val="00F37EE4"/>
    <w:rsid w:val="00F5750D"/>
    <w:rsid w:val="00F61D04"/>
    <w:rsid w:val="00F6722E"/>
    <w:rsid w:val="00F67636"/>
    <w:rsid w:val="00F918F3"/>
    <w:rsid w:val="00F946B8"/>
    <w:rsid w:val="00FB110E"/>
    <w:rsid w:val="00FB7A69"/>
    <w:rsid w:val="00FD2C06"/>
    <w:rsid w:val="00FD5721"/>
    <w:rsid w:val="010A549A"/>
    <w:rsid w:val="02A13FD9"/>
    <w:rsid w:val="037A6CDD"/>
    <w:rsid w:val="04D40278"/>
    <w:rsid w:val="05807D5C"/>
    <w:rsid w:val="07E92127"/>
    <w:rsid w:val="0A0A4B2A"/>
    <w:rsid w:val="0A364FD6"/>
    <w:rsid w:val="0A672418"/>
    <w:rsid w:val="0AC77BAA"/>
    <w:rsid w:val="0B6A590C"/>
    <w:rsid w:val="11265A4A"/>
    <w:rsid w:val="11766340"/>
    <w:rsid w:val="11B43F3B"/>
    <w:rsid w:val="11B90CF0"/>
    <w:rsid w:val="14304C95"/>
    <w:rsid w:val="14B8208C"/>
    <w:rsid w:val="15D7294C"/>
    <w:rsid w:val="193C17E0"/>
    <w:rsid w:val="1A926AF0"/>
    <w:rsid w:val="1BC74D67"/>
    <w:rsid w:val="1BE76170"/>
    <w:rsid w:val="1C775D6A"/>
    <w:rsid w:val="1DA348DE"/>
    <w:rsid w:val="1F151850"/>
    <w:rsid w:val="1F753841"/>
    <w:rsid w:val="20F766A2"/>
    <w:rsid w:val="22E43943"/>
    <w:rsid w:val="22F54A0E"/>
    <w:rsid w:val="231D5538"/>
    <w:rsid w:val="23C22A04"/>
    <w:rsid w:val="245240AE"/>
    <w:rsid w:val="25DF592F"/>
    <w:rsid w:val="285D6903"/>
    <w:rsid w:val="2A61014F"/>
    <w:rsid w:val="2B0B5927"/>
    <w:rsid w:val="2BE07979"/>
    <w:rsid w:val="2EDB646B"/>
    <w:rsid w:val="30A413AF"/>
    <w:rsid w:val="30AB5CE6"/>
    <w:rsid w:val="32AD49B6"/>
    <w:rsid w:val="354B228D"/>
    <w:rsid w:val="35B81FD5"/>
    <w:rsid w:val="36151E1D"/>
    <w:rsid w:val="376947CC"/>
    <w:rsid w:val="38161F11"/>
    <w:rsid w:val="382D5AC3"/>
    <w:rsid w:val="39D50401"/>
    <w:rsid w:val="3B1E2145"/>
    <w:rsid w:val="3E387F31"/>
    <w:rsid w:val="3F6D70AB"/>
    <w:rsid w:val="410305B7"/>
    <w:rsid w:val="415D632C"/>
    <w:rsid w:val="426618FB"/>
    <w:rsid w:val="428237B7"/>
    <w:rsid w:val="42940132"/>
    <w:rsid w:val="44BB3261"/>
    <w:rsid w:val="454652A0"/>
    <w:rsid w:val="45D274E3"/>
    <w:rsid w:val="46726720"/>
    <w:rsid w:val="4702058D"/>
    <w:rsid w:val="47B37AC8"/>
    <w:rsid w:val="47EE677D"/>
    <w:rsid w:val="47F22F22"/>
    <w:rsid w:val="48501847"/>
    <w:rsid w:val="49A44FFF"/>
    <w:rsid w:val="4B3045B7"/>
    <w:rsid w:val="4BBB440C"/>
    <w:rsid w:val="4D7048CE"/>
    <w:rsid w:val="4E011C0C"/>
    <w:rsid w:val="4F423FC9"/>
    <w:rsid w:val="500F6319"/>
    <w:rsid w:val="508C747E"/>
    <w:rsid w:val="5581080F"/>
    <w:rsid w:val="57A33835"/>
    <w:rsid w:val="58C17C65"/>
    <w:rsid w:val="58D821A4"/>
    <w:rsid w:val="59F769D3"/>
    <w:rsid w:val="5C574B78"/>
    <w:rsid w:val="5D9928EE"/>
    <w:rsid w:val="5FBA1B9B"/>
    <w:rsid w:val="62F65ECF"/>
    <w:rsid w:val="62FE4140"/>
    <w:rsid w:val="65824B32"/>
    <w:rsid w:val="660C4B51"/>
    <w:rsid w:val="66173E17"/>
    <w:rsid w:val="668328EF"/>
    <w:rsid w:val="67F731B4"/>
    <w:rsid w:val="6854745E"/>
    <w:rsid w:val="6D736F54"/>
    <w:rsid w:val="6E653394"/>
    <w:rsid w:val="70B56162"/>
    <w:rsid w:val="717C6F21"/>
    <w:rsid w:val="72FC74FF"/>
    <w:rsid w:val="734170A4"/>
    <w:rsid w:val="742A7877"/>
    <w:rsid w:val="752D664A"/>
    <w:rsid w:val="75D81B96"/>
    <w:rsid w:val="77946651"/>
    <w:rsid w:val="78C4104D"/>
    <w:rsid w:val="7AFF4D13"/>
    <w:rsid w:val="7DD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qFormat/>
    <w:uiPriority w:val="99"/>
    <w:rPr>
      <w:b/>
      <w:bCs/>
    </w:rPr>
  </w:style>
  <w:style w:type="paragraph" w:styleId="4">
    <w:name w:val="annotation text"/>
    <w:basedOn w:val="1"/>
    <w:link w:val="19"/>
    <w:semiHidden/>
    <w:qFormat/>
    <w:uiPriority w:val="99"/>
    <w:pPr>
      <w:jc w:val="left"/>
    </w:pPr>
  </w:style>
  <w:style w:type="paragraph" w:styleId="5">
    <w:name w:val="Document Map"/>
    <w:basedOn w:val="1"/>
    <w:link w:val="21"/>
    <w:semiHidden/>
    <w:qFormat/>
    <w:uiPriority w:val="99"/>
    <w:rPr>
      <w:rFonts w:ascii="宋体" w:cs="宋体"/>
      <w:sz w:val="18"/>
      <w:szCs w:val="18"/>
    </w:r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styleId="13">
    <w:name w:val="Emphasis"/>
    <w:basedOn w:val="10"/>
    <w:qFormat/>
    <w:uiPriority w:val="99"/>
    <w:rPr>
      <w:color w:val="auto"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sz w:val="21"/>
      <w:szCs w:val="21"/>
    </w:rPr>
  </w:style>
  <w:style w:type="character" w:styleId="16">
    <w:name w:val="HTML Cite"/>
    <w:basedOn w:val="10"/>
    <w:qFormat/>
    <w:uiPriority w:val="99"/>
    <w:rPr>
      <w:color w:val="008000"/>
    </w:rPr>
  </w:style>
  <w:style w:type="character" w:customStyle="1" w:styleId="18">
    <w:name w:val="标题 3 Char"/>
    <w:basedOn w:val="10"/>
    <w:link w:val="2"/>
    <w:semiHidden/>
    <w:qFormat/>
    <w:uiPriority w:val="9"/>
    <w:rPr>
      <w:b/>
      <w:bCs/>
      <w:sz w:val="32"/>
      <w:szCs w:val="32"/>
    </w:rPr>
  </w:style>
  <w:style w:type="character" w:customStyle="1" w:styleId="19">
    <w:name w:val="批注文字 Char"/>
    <w:basedOn w:val="10"/>
    <w:link w:val="4"/>
    <w:qFormat/>
    <w:locked/>
    <w:uiPriority w:val="99"/>
    <w:rPr>
      <w:kern w:val="2"/>
      <w:sz w:val="24"/>
      <w:szCs w:val="24"/>
    </w:rPr>
  </w:style>
  <w:style w:type="character" w:customStyle="1" w:styleId="20">
    <w:name w:val="批注主题 Char"/>
    <w:basedOn w:val="19"/>
    <w:link w:val="3"/>
    <w:qFormat/>
    <w:locked/>
    <w:uiPriority w:val="99"/>
    <w:rPr>
      <w:b/>
      <w:bCs/>
      <w:kern w:val="2"/>
      <w:sz w:val="24"/>
      <w:szCs w:val="24"/>
    </w:rPr>
  </w:style>
  <w:style w:type="character" w:customStyle="1" w:styleId="21">
    <w:name w:val="文档结构图 Char"/>
    <w:basedOn w:val="10"/>
    <w:link w:val="5"/>
    <w:qFormat/>
    <w:locked/>
    <w:uiPriority w:val="99"/>
    <w:rPr>
      <w:rFonts w:ascii="宋体" w:cs="宋体"/>
      <w:kern w:val="2"/>
      <w:sz w:val="18"/>
      <w:szCs w:val="18"/>
    </w:rPr>
  </w:style>
  <w:style w:type="character" w:customStyle="1" w:styleId="22">
    <w:name w:val="批注框文本 Char"/>
    <w:basedOn w:val="10"/>
    <w:link w:val="6"/>
    <w:semiHidden/>
    <w:qFormat/>
    <w:uiPriority w:val="99"/>
    <w:rPr>
      <w:sz w:val="0"/>
      <w:szCs w:val="0"/>
    </w:rPr>
  </w:style>
  <w:style w:type="character" w:customStyle="1" w:styleId="23">
    <w:name w:val="页脚 Char"/>
    <w:basedOn w:val="10"/>
    <w:link w:val="7"/>
    <w:qFormat/>
    <w:locked/>
    <w:uiPriority w:val="99"/>
    <w:rPr>
      <w:kern w:val="2"/>
      <w:sz w:val="18"/>
      <w:szCs w:val="18"/>
    </w:rPr>
  </w:style>
  <w:style w:type="character" w:customStyle="1" w:styleId="24">
    <w:name w:val="页眉 Char"/>
    <w:basedOn w:val="10"/>
    <w:link w:val="8"/>
    <w:semiHidden/>
    <w:qFormat/>
    <w:uiPriority w:val="99"/>
    <w:rPr>
      <w:sz w:val="18"/>
      <w:szCs w:val="18"/>
    </w:rPr>
  </w:style>
  <w:style w:type="paragraph" w:customStyle="1" w:styleId="25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2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27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28">
    <w:name w:val="picview"/>
    <w:basedOn w:val="10"/>
    <w:qFormat/>
    <w:uiPriority w:val="99"/>
  </w:style>
  <w:style w:type="character" w:customStyle="1" w:styleId="29">
    <w:name w:val="picview1"/>
    <w:basedOn w:val="10"/>
    <w:qFormat/>
    <w:uiPriority w:val="99"/>
  </w:style>
  <w:style w:type="character" w:customStyle="1" w:styleId="30">
    <w:name w:val="right-line"/>
    <w:basedOn w:val="10"/>
    <w:uiPriority w:val="99"/>
    <w:rPr>
      <w:shd w:val="clear" w:color="auto" w:fill="auto"/>
    </w:rPr>
  </w:style>
  <w:style w:type="character" w:customStyle="1" w:styleId="31">
    <w:name w:val="right-side"/>
    <w:basedOn w:val="10"/>
    <w:qFormat/>
    <w:uiPriority w:val="99"/>
  </w:style>
  <w:style w:type="paragraph" w:customStyle="1" w:styleId="32">
    <w:name w:val="_Style 25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33">
    <w:name w:val="_Style 26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character" w:customStyle="1" w:styleId="34">
    <w:name w:val="one"/>
    <w:basedOn w:val="10"/>
    <w:qFormat/>
    <w:uiPriority w:val="99"/>
    <w:rPr>
      <w:color w:val="auto"/>
    </w:rPr>
  </w:style>
  <w:style w:type="character" w:customStyle="1" w:styleId="35">
    <w:name w:val="icon_video"/>
    <w:basedOn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309</Words>
  <Characters>1766</Characters>
  <Lines>14</Lines>
  <Paragraphs>4</Paragraphs>
  <TotalTime>1</TotalTime>
  <ScaleCrop>false</ScaleCrop>
  <LinksUpToDate>false</LinksUpToDate>
  <CharactersWithSpaces>2071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2019-01-10T09:13:00Z</dcterms:created>
  <dc:creator>番茄花园</dc:creator>
  <cp:lastModifiedBy>fndxh</cp:lastModifiedBy>
  <cp:lastPrinted>2014-12-12T03:46:00Z</cp:lastPrinted>
  <dcterms:modified xsi:type="dcterms:W3CDTF">2019-01-21T00:57:20Z</dcterms:modified>
  <dc:title>关于申报2007年度四川省教育厅人文社科重点研究基地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