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630" w:firstLineChars="196"/>
        <w:jc w:val="center"/>
        <w:rPr>
          <w:rFonts w:hint="eastAsia" w:ascii="宋体" w:hAnsi="宋体" w:eastAsia="宋体" w:cs="宋体"/>
          <w:b/>
          <w:bCs/>
          <w:kern w:val="0"/>
          <w:sz w:val="32"/>
          <w:szCs w:val="32"/>
          <w:lang w:eastAsia="zh-CN"/>
        </w:rPr>
      </w:pPr>
    </w:p>
    <w:p>
      <w:pPr>
        <w:snapToGrid w:val="0"/>
        <w:spacing w:line="360" w:lineRule="auto"/>
        <w:ind w:firstLine="630" w:firstLineChars="196"/>
        <w:jc w:val="center"/>
        <w:rPr>
          <w:rFonts w:hint="eastAsia" w:ascii="宋体" w:hAnsi="宋体" w:eastAsia="宋体" w:cs="宋体"/>
          <w:b/>
          <w:bCs/>
          <w:kern w:val="0"/>
          <w:sz w:val="32"/>
          <w:szCs w:val="32"/>
          <w:lang w:eastAsia="zh-CN"/>
        </w:rPr>
      </w:pPr>
      <w:r>
        <w:rPr>
          <w:rFonts w:hint="eastAsia" w:ascii="宋体" w:hAnsi="宋体" w:eastAsia="宋体" w:cs="宋体"/>
          <w:b/>
          <w:bCs/>
          <w:kern w:val="0"/>
          <w:sz w:val="32"/>
          <w:szCs w:val="32"/>
          <w:lang w:eastAsia="zh-CN"/>
        </w:rPr>
        <w:t>高等教育出版社项目指南</w:t>
      </w:r>
    </w:p>
    <w:p>
      <w:pPr>
        <w:snapToGrid w:val="0"/>
        <w:spacing w:line="360" w:lineRule="auto"/>
        <w:ind w:firstLine="630" w:firstLineChars="196"/>
        <w:jc w:val="center"/>
        <w:rPr>
          <w:rFonts w:hint="eastAsia" w:ascii="宋体" w:hAnsi="宋体" w:eastAsia="宋体" w:cs="宋体"/>
          <w:b/>
          <w:bCs/>
          <w:kern w:val="0"/>
          <w:sz w:val="32"/>
          <w:szCs w:val="32"/>
          <w:lang w:eastAsia="zh-CN"/>
        </w:rPr>
      </w:pPr>
    </w:p>
    <w:p>
      <w:pPr>
        <w:snapToGrid w:val="0"/>
        <w:spacing w:line="360" w:lineRule="auto"/>
        <w:ind w:firstLine="548" w:firstLineChars="196"/>
        <w:rPr>
          <w:rFonts w:ascii="仿宋_GB2312" w:hAnsi="宋体" w:eastAsia="仿宋_GB2312" w:cs="宋体"/>
          <w:kern w:val="0"/>
          <w:sz w:val="28"/>
          <w:szCs w:val="28"/>
        </w:rPr>
      </w:pPr>
      <w:r>
        <w:rPr>
          <w:rFonts w:hint="eastAsia" w:ascii="仿宋_GB2312" w:hAnsi="宋体" w:eastAsia="仿宋_GB2312" w:cs="宋体"/>
          <w:kern w:val="0"/>
          <w:sz w:val="28"/>
          <w:szCs w:val="28"/>
        </w:rPr>
        <w:t>本年度高教社项目分为两类，一类是</w:t>
      </w:r>
      <w:r>
        <w:rPr>
          <w:rFonts w:hint="eastAsia" w:ascii="仿宋_GB2312" w:hAnsi="宋体" w:eastAsia="仿宋_GB2312" w:cs="宋体"/>
          <w:b/>
          <w:bCs/>
          <w:kern w:val="0"/>
          <w:sz w:val="28"/>
          <w:szCs w:val="28"/>
        </w:rPr>
        <w:t>外语教学改革与研究项目</w:t>
      </w:r>
      <w:r>
        <w:rPr>
          <w:rFonts w:hint="eastAsia" w:ascii="仿宋_GB2312" w:hAnsi="宋体" w:eastAsia="仿宋_GB2312" w:cs="宋体"/>
          <w:kern w:val="0"/>
          <w:sz w:val="28"/>
          <w:szCs w:val="28"/>
        </w:rPr>
        <w:t>，另外一类是</w:t>
      </w:r>
      <w:r>
        <w:rPr>
          <w:rFonts w:hint="eastAsia" w:ascii="仿宋_GB2312" w:hAnsi="宋体" w:eastAsia="仿宋_GB2312" w:cs="宋体"/>
          <w:b/>
          <w:bCs/>
          <w:kern w:val="0"/>
          <w:sz w:val="28"/>
          <w:szCs w:val="28"/>
        </w:rPr>
        <w:t>外语数字课程资源建设项目</w:t>
      </w:r>
      <w:r>
        <w:rPr>
          <w:rFonts w:hint="eastAsia" w:ascii="仿宋_GB2312" w:hAnsi="宋体" w:eastAsia="仿宋_GB2312" w:cs="宋体"/>
          <w:kern w:val="0"/>
          <w:sz w:val="28"/>
          <w:szCs w:val="28"/>
        </w:rPr>
        <w:t>：</w:t>
      </w:r>
    </w:p>
    <w:p>
      <w:pPr>
        <w:snapToGrid w:val="0"/>
        <w:spacing w:line="360" w:lineRule="auto"/>
        <w:ind w:firstLine="548" w:firstLineChars="196"/>
        <w:rPr>
          <w:rFonts w:hint="eastAsia" w:ascii="仿宋_GB2312" w:hAnsi="宋体" w:eastAsia="仿宋_GB2312" w:cs="宋体"/>
          <w:kern w:val="0"/>
          <w:sz w:val="28"/>
          <w:szCs w:val="28"/>
        </w:rPr>
      </w:pPr>
      <w:r>
        <w:rPr>
          <w:rFonts w:hint="eastAsia" w:ascii="仿宋_GB2312" w:hAnsi="宋体" w:eastAsia="仿宋_GB2312" w:cs="宋体"/>
          <w:color w:val="FF0000"/>
          <w:kern w:val="0"/>
          <w:sz w:val="28"/>
          <w:szCs w:val="28"/>
        </w:rPr>
        <w:t>一、外语教学改革与研究项目选题范围：</w:t>
      </w:r>
      <w:r>
        <w:rPr>
          <w:rFonts w:hint="eastAsia" w:ascii="仿宋_GB2312" w:hAnsi="宋体" w:eastAsia="仿宋_GB2312" w:cs="宋体"/>
          <w:b/>
          <w:bCs/>
          <w:kern w:val="0"/>
          <w:sz w:val="28"/>
          <w:szCs w:val="28"/>
        </w:rPr>
        <w:t>供参考，各申报院校也可根据自身情况，自行拟定研究方向及选题。</w:t>
      </w:r>
    </w:p>
    <w:p>
      <w:pPr>
        <w:snapToGrid w:val="0"/>
        <w:spacing w:line="360" w:lineRule="auto"/>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（1）高等学校英语课程体系与评估体系创新研究 </w:t>
      </w:r>
    </w:p>
    <w:p>
      <w:pPr>
        <w:snapToGrid w:val="0"/>
        <w:spacing w:line="360" w:lineRule="auto"/>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（2）高校英语课程模式改革研究：如基于TED TALK的听说教学模式研究，项目式学习法在大学外语教学中的应用研究</w:t>
      </w:r>
    </w:p>
    <w:p>
      <w:pPr>
        <w:snapToGrid w:val="0"/>
        <w:spacing w:line="360" w:lineRule="auto"/>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（3）高校大学生英语能力提升路径研究</w:t>
      </w:r>
    </w:p>
    <w:p>
      <w:pPr>
        <w:snapToGrid w:val="0"/>
        <w:spacing w:line="360" w:lineRule="auto"/>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（4）大学生英语能力与职业发展关系研究</w:t>
      </w:r>
    </w:p>
    <w:p>
      <w:pPr>
        <w:snapToGrid w:val="0"/>
        <w:spacing w:line="360" w:lineRule="auto"/>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（5）外语教学评价与测试研究</w:t>
      </w:r>
    </w:p>
    <w:p>
      <w:pPr>
        <w:snapToGrid w:val="0"/>
        <w:spacing w:line="360" w:lineRule="auto"/>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(6）外语课程思政相关研究：包括但不限于外语类课程思政教改探索，从外语课程思政的制度建设、课程体系建设、资源建设、方案设计等方面，选取一个或多个维度开展研究</w:t>
      </w:r>
    </w:p>
    <w:p>
      <w:pPr>
        <w:snapToGrid w:val="0"/>
        <w:spacing w:line="360" w:lineRule="auto"/>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（7）技术手段与外语教学的相关研究：如微课、慕课，混合教学对学生学习效能的影响研究，人工智能与语言学习的相关研究，虚拟仿真在外语实训类课程中的应用研究等</w:t>
      </w:r>
    </w:p>
    <w:p>
      <w:pPr>
        <w:snapToGrid w:val="0"/>
        <w:spacing w:line="360" w:lineRule="auto"/>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(8）外语竞赛类研究：如职业院校口语技能竞赛中的赛教融合、中国外语微课大赛对教学的反拨作用、大赛成果转化研究等；</w:t>
      </w:r>
    </w:p>
    <w:p>
      <w:pPr>
        <w:snapToGrid w:val="0"/>
        <w:spacing w:line="360" w:lineRule="auto"/>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（9）外语第二课堂实践研究：如外语第二课堂创新建设的实证研究，第二课堂与学习动机的关联性研究；</w:t>
      </w:r>
    </w:p>
    <w:p>
      <w:pPr>
        <w:snapToGrid w:val="0"/>
        <w:spacing w:line="360" w:lineRule="auto"/>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（10）大学外语后续课程建设研究 </w:t>
      </w:r>
    </w:p>
    <w:p>
      <w:pPr>
        <w:snapToGrid w:val="0"/>
        <w:spacing w:line="360" w:lineRule="auto"/>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（11）大学专门用途英语教学实践研究</w:t>
      </w:r>
    </w:p>
    <w:p>
      <w:pPr>
        <w:snapToGrid w:val="0"/>
        <w:spacing w:line="360" w:lineRule="auto"/>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（12）高校外语教师培训与职业发展研究</w:t>
      </w:r>
    </w:p>
    <w:p>
      <w:pPr>
        <w:snapToGrid w:val="0"/>
        <w:spacing w:line="360" w:lineRule="auto"/>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(13) 中高职衔接下英语教学现状与对策研究</w:t>
      </w:r>
    </w:p>
    <w:p>
      <w:pPr>
        <w:snapToGrid w:val="0"/>
        <w:spacing w:line="360" w:lineRule="auto"/>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w:t>
      </w:r>
    </w:p>
    <w:p>
      <w:pPr>
        <w:snapToGrid w:val="0"/>
        <w:spacing w:line="360" w:lineRule="auto"/>
        <w:ind w:firstLine="548" w:firstLineChars="196"/>
        <w:rPr>
          <w:rFonts w:hint="eastAsia" w:ascii="仿宋_GB2312" w:hAnsi="宋体" w:eastAsia="仿宋_GB2312" w:cs="宋体"/>
          <w:kern w:val="0"/>
          <w:sz w:val="28"/>
          <w:szCs w:val="28"/>
        </w:rPr>
      </w:pPr>
      <w:r>
        <w:rPr>
          <w:rFonts w:hint="eastAsia" w:ascii="仿宋_GB2312" w:hAnsi="宋体" w:eastAsia="仿宋_GB2312" w:cs="宋体"/>
          <w:color w:val="FF0000"/>
          <w:kern w:val="0"/>
          <w:sz w:val="28"/>
          <w:szCs w:val="28"/>
        </w:rPr>
        <w:t>二、外语数字教学资源建设类课题</w:t>
      </w:r>
      <w:r>
        <w:rPr>
          <w:rFonts w:hint="eastAsia" w:ascii="仿宋_GB2312" w:hAnsi="宋体" w:eastAsia="仿宋_GB2312" w:cs="宋体"/>
          <w:color w:val="FF0000"/>
          <w:kern w:val="0"/>
          <w:sz w:val="28"/>
          <w:szCs w:val="28"/>
        </w:rPr>
        <w:br w:type="textWrapping"/>
      </w:r>
      <w:r>
        <w:rPr>
          <w:rFonts w:hint="eastAsia" w:ascii="仿宋_GB2312" w:hAnsi="宋体" w:eastAsia="仿宋_GB2312" w:cs="宋体"/>
          <w:kern w:val="0"/>
          <w:sz w:val="28"/>
          <w:szCs w:val="28"/>
        </w:rPr>
        <w:t xml:space="preserve">    本年度项目重点关注大学外语通用课程及行业英语类教学资源建设，申报的建设项目要求申报院校已经开设或计划开设相关课程。该类课题的建设与验收均依托高等教育出版社iSmart外语数字化教学平台进行，课题申报获批后，视项目需要，将为课题组成员提供有效期一到两年的平台账号，并对项目成员提供平台操作的集中培训。优秀的结题成果，有机会实现数字出版。</w:t>
      </w:r>
    </w:p>
    <w:p>
      <w:pPr>
        <w:snapToGrid w:val="0"/>
        <w:spacing w:line="360" w:lineRule="auto"/>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立项课题建设的数字课程资源应与教学平台、教材和课堂教学有机结合，注重适用性和应用性。重点课题要求建设一门完整的在线课程并完成课程的教学应用研究报告；一般课题要求建设系列微课程,成果至少包含一门课程的两个及以上教学单元,每单元不得少于三个相互关联的微课程，并完成课程的教学应用研究报告。报告原则上不少于5000字，包含微课程资源应用的数据和分析，并提出可操作性的资源应用方法。</w:t>
      </w:r>
    </w:p>
    <w:p>
      <w:pPr>
        <w:snapToGrid w:val="0"/>
        <w:spacing w:line="360" w:lineRule="auto"/>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本年度重点建设的行业英语类教学资源方向为：商务、医学、酒店与餐饮、物流、汽车、文秘、机械、口腔护理、空中乘务、护理、铁路、旅游、会计、幼师、计算机工程、软件工程等。</w:t>
      </w:r>
    </w:p>
    <w:p>
      <w:pPr>
        <w:numPr>
          <w:ilvl w:val="0"/>
          <w:numId w:val="1"/>
        </w:numPr>
        <w:snapToGrid w:val="0"/>
        <w:spacing w:line="360" w:lineRule="auto"/>
        <w:ind w:firstLine="548" w:firstLineChars="196"/>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成果形式</w:t>
      </w:r>
    </w:p>
    <w:p>
      <w:pPr>
        <w:numPr>
          <w:ilvl w:val="0"/>
          <w:numId w:val="0"/>
        </w:numPr>
        <w:snapToGrid w:val="0"/>
        <w:spacing w:line="360" w:lineRule="auto"/>
        <w:ind w:firstLine="560" w:firstLineChars="200"/>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本年度项目分两类，一类是外语教学研究类项目，第二类是外语数字课程资源建设类项目。</w:t>
      </w:r>
      <w:r>
        <w:rPr>
          <w:rFonts w:hint="eastAsia" w:ascii="仿宋_GB2312" w:hAnsi="宋体" w:eastAsia="仿宋_GB2312" w:cs="宋体"/>
          <w:b/>
          <w:bCs/>
          <w:kern w:val="0"/>
          <w:sz w:val="28"/>
          <w:szCs w:val="28"/>
        </w:rPr>
        <w:t>第一类项目成果形式</w:t>
      </w:r>
      <w:r>
        <w:rPr>
          <w:rFonts w:hint="eastAsia" w:ascii="仿宋_GB2312" w:hAnsi="宋体" w:eastAsia="仿宋_GB2312" w:cs="宋体"/>
          <w:kern w:val="0"/>
          <w:sz w:val="28"/>
          <w:szCs w:val="28"/>
        </w:rPr>
        <w:t>包括：研究报告、教改方案及实例分析与实践报告、教学材料研究报告、数字化教学资源、学术论文、学术专著、调研报告、教学微视频/多媒体课件及</w:t>
      </w:r>
      <w:r>
        <w:rPr>
          <w:rFonts w:hint="eastAsia" w:ascii="仿宋_GB2312" w:eastAsia="仿宋_GB2312" w:cs="宋体"/>
          <w:kern w:val="0"/>
          <w:sz w:val="28"/>
          <w:szCs w:val="28"/>
        </w:rPr>
        <w:t>其</w:t>
      </w:r>
      <w:r>
        <w:rPr>
          <w:rFonts w:hint="eastAsia" w:ascii="仿宋_GB2312" w:hAnsi="宋体" w:eastAsia="仿宋_GB2312" w:cs="宋体"/>
          <w:kern w:val="0"/>
          <w:sz w:val="28"/>
          <w:szCs w:val="28"/>
        </w:rPr>
        <w:t>应用报告</w:t>
      </w:r>
      <w:r>
        <w:rPr>
          <w:rFonts w:hint="eastAsia" w:ascii="仿宋_GB2312" w:eastAsia="仿宋_GB2312" w:cs="宋体"/>
          <w:kern w:val="0"/>
          <w:sz w:val="28"/>
          <w:szCs w:val="28"/>
        </w:rPr>
        <w:t>、教材（纸质教材或电子出版物）等。</w:t>
      </w:r>
      <w:r>
        <w:rPr>
          <w:rFonts w:hint="eastAsia" w:ascii="仿宋_GB2312" w:eastAsia="仿宋_GB2312" w:cs="宋体"/>
          <w:b/>
          <w:bCs/>
          <w:kern w:val="0"/>
          <w:sz w:val="28"/>
          <w:szCs w:val="28"/>
        </w:rPr>
        <w:t>第二类项目成果</w:t>
      </w:r>
      <w:r>
        <w:rPr>
          <w:rFonts w:hint="eastAsia" w:ascii="仿宋_GB2312" w:eastAsia="仿宋_GB2312" w:cs="宋体"/>
          <w:kern w:val="0"/>
          <w:sz w:val="28"/>
          <w:szCs w:val="28"/>
        </w:rPr>
        <w:t>为依托iSmart数字课程平台新建的数字课程资源。</w:t>
      </w:r>
    </w:p>
    <w:p>
      <w:pPr>
        <w:widowControl/>
        <w:snapToGrid w:val="0"/>
        <w:spacing w:line="360" w:lineRule="auto"/>
        <w:ind w:firstLine="562" w:firstLineChars="200"/>
        <w:jc w:val="left"/>
        <w:rPr>
          <w:rFonts w:hint="eastAsia" w:ascii="仿宋_GB2312" w:hAnsi="宋体" w:eastAsia="仿宋_GB2312" w:cs="宋体"/>
          <w:color w:val="0000FF"/>
          <w:kern w:val="0"/>
          <w:sz w:val="28"/>
          <w:szCs w:val="28"/>
        </w:rPr>
      </w:pPr>
      <w:r>
        <w:rPr>
          <w:rFonts w:hint="eastAsia" w:ascii="仿宋_GB2312" w:hAnsi="宋体" w:eastAsia="仿宋_GB2312" w:cs="宋体"/>
          <w:b/>
          <w:bCs/>
          <w:color w:val="0000FF"/>
          <w:kern w:val="0"/>
          <w:sz w:val="28"/>
          <w:szCs w:val="28"/>
          <w:lang w:eastAsia="zh-CN"/>
        </w:rPr>
        <w:t>注意事项</w:t>
      </w:r>
      <w:r>
        <w:rPr>
          <w:rFonts w:hint="eastAsia" w:ascii="仿宋_GB2312" w:hAnsi="宋体" w:eastAsia="仿宋_GB2312" w:cs="宋体"/>
          <w:color w:val="0000FF"/>
          <w:kern w:val="0"/>
          <w:sz w:val="28"/>
          <w:szCs w:val="28"/>
          <w:lang w:eastAsia="zh-CN"/>
        </w:rPr>
        <w:t>：</w:t>
      </w:r>
      <w:r>
        <w:rPr>
          <w:rFonts w:hint="eastAsia" w:ascii="仿宋_GB2312" w:hAnsi="宋体" w:eastAsia="仿宋_GB2312" w:cs="宋体"/>
          <w:color w:val="0000FF"/>
          <w:kern w:val="0"/>
          <w:sz w:val="28"/>
          <w:szCs w:val="28"/>
        </w:rPr>
        <w:t>立项以学校为单位，由学校审核同意后统一上报，</w:t>
      </w:r>
      <w:r>
        <w:rPr>
          <w:rFonts w:hint="eastAsia" w:ascii="仿宋_GB2312" w:hAnsi="宋体" w:eastAsia="仿宋_GB2312" w:cs="宋体"/>
          <w:b/>
          <w:bCs/>
          <w:color w:val="0000FF"/>
          <w:kern w:val="0"/>
          <w:sz w:val="28"/>
          <w:szCs w:val="28"/>
        </w:rPr>
        <w:t>每校限报两项</w:t>
      </w:r>
      <w:r>
        <w:rPr>
          <w:rFonts w:hint="eastAsia" w:ascii="仿宋_GB2312" w:hAnsi="宋体" w:eastAsia="仿宋_GB2312" w:cs="宋体"/>
          <w:color w:val="0000FF"/>
          <w:kern w:val="0"/>
          <w:sz w:val="28"/>
          <w:szCs w:val="28"/>
        </w:rPr>
        <w:t>，项目负责人只能申报一个课题，不能作为课题组成员再参加其他项目。项目成员不超过5人（不含负责人）。</w:t>
      </w:r>
    </w:p>
    <w:p>
      <w:pPr>
        <w:rPr>
          <w:rFonts w:hint="eastAsia" w:eastAsia="宋体"/>
          <w:lang w:eastAsia="zh-CN"/>
        </w:rPr>
      </w:pPr>
      <w:bookmarkStart w:id="0" w:name="_GoBack"/>
      <w:bookmarkEnd w:id="0"/>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5B0F73"/>
    <w:multiLevelType w:val="singleLevel"/>
    <w:tmpl w:val="E85B0F7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71588"/>
    <w:rsid w:val="05EF3C86"/>
    <w:rsid w:val="0FDF607C"/>
    <w:rsid w:val="22292E55"/>
    <w:rsid w:val="2FC62AFA"/>
    <w:rsid w:val="493258C8"/>
    <w:rsid w:val="62D66D10"/>
    <w:rsid w:val="78C71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2020-01-06T06:17:00Z</dcterms:created>
  <dc:creator>Second To None</dc:creator>
  <cp:lastModifiedBy>Administrator</cp:lastModifiedBy>
  <dcterms:modified xsi:type="dcterms:W3CDTF">2020-01-07T03:09:26Z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