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50" w:lineRule="atLeast"/>
        <w:ind w:left="0" w:right="0" w:firstLine="0"/>
        <w:jc w:val="both"/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color="auto" w:fill="auto"/>
          <w:lang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bdr w:val="none" w:color="auto" w:sz="0" w:space="0"/>
          <w:shd w:val="clear" w:color="auto" w:fill="auto"/>
          <w:lang w:eastAsia="zh-CN"/>
        </w:rPr>
        <w:t>附件</w:t>
      </w:r>
    </w:p>
    <w:p>
      <w:pPr>
        <w:rPr>
          <w:rFonts w:hint="eastAsia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6"/>
          <w:szCs w:val="36"/>
          <w:bdr w:val="none" w:color="auto" w:sz="0" w:space="0"/>
          <w:shd w:val="clear" w:color="auto" w:fill="auto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6"/>
          <w:szCs w:val="36"/>
          <w:bdr w:val="none" w:color="auto" w:sz="0" w:space="0"/>
          <w:shd w:val="clear" w:color="auto" w:fill="auto"/>
        </w:rPr>
        <w:t>四川省科学技术厅关于印发《四川省重点实验室考核评估规则》《四川省重点实验室考核评估实施细则》等考评系列规范的通知</w:t>
      </w:r>
    </w:p>
    <w:p>
      <w:pPr>
        <w:rPr>
          <w:rFonts w:hint="eastAsia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00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4"/>
          <w:szCs w:val="24"/>
          <w:bdr w:val="none" w:color="auto" w:sz="0" w:space="0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4"/>
          <w:szCs w:val="24"/>
          <w:bdr w:val="none" w:color="auto" w:sz="0" w:space="0"/>
          <w:shd w:val="clear" w:color="auto" w:fill="auto"/>
          <w:lang w:val="en-US" w:eastAsia="zh-CN" w:bidi="ar"/>
        </w:rPr>
        <w:t>川科基〔2018〕13号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0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0"/>
          <w:kern w:val="0"/>
          <w:sz w:val="24"/>
          <w:szCs w:val="24"/>
          <w:bdr w:val="none" w:color="auto" w:sz="0" w:space="0"/>
          <w:shd w:val="clear" w:color="auto" w:fill="auto"/>
          <w:lang w:val="en-US" w:eastAsia="zh-CN" w:bidi="ar"/>
        </w:rPr>
      </w:pP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76" w:lineRule="atLeast"/>
        <w:ind w:left="0" w:right="0"/>
        <w:rPr>
          <w:sz w:val="21"/>
          <w:szCs w:val="21"/>
          <w:shd w:val="clear" w:color="auto" w:fill="auto"/>
        </w:rPr>
      </w:pPr>
      <w:r>
        <w:rPr>
          <w:rFonts w:ascii="仿宋_GB2312" w:hAnsi="Arial" w:eastAsia="仿宋_GB2312" w:cs="仿宋_GB2312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</w:rPr>
        <w:t>各有关单位：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76" w:lineRule="atLeast"/>
        <w:ind w:left="0" w:right="0" w:firstLine="640"/>
        <w:rPr>
          <w:sz w:val="21"/>
          <w:szCs w:val="21"/>
          <w:shd w:val="clear" w:color="auto" w:fill="auto"/>
        </w:rPr>
      </w:pPr>
      <w:r>
        <w:rPr>
          <w:rFonts w:hint="default" w:ascii="仿宋_GB2312" w:hAnsi="Arial" w:eastAsia="仿宋_GB2312" w:cs="仿宋_GB2312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</w:rPr>
        <w:t>为进一步规范四川省重点实验室的考核评估工作，更好地发挥省重考评的导向作用，不断增强四川省重点实验室的科技创新能力，根据《四川省重点实验室建设与运行管理办法（试行）》（川科基〔</w:t>
      </w: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  <w:lang w:val="en-US"/>
        </w:rPr>
        <w:t>2018</w:t>
      </w:r>
      <w:r>
        <w:rPr>
          <w:rFonts w:hint="default" w:ascii="仿宋_GB2312" w:hAnsi="Arial" w:eastAsia="仿宋_GB2312" w:cs="仿宋_GB2312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</w:rPr>
        <w:t>〕</w:t>
      </w: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  <w:lang w:val="en-US"/>
        </w:rPr>
        <w:t>2</w:t>
      </w:r>
      <w:r>
        <w:rPr>
          <w:rFonts w:hint="default" w:ascii="仿宋_GB2312" w:hAnsi="Arial" w:eastAsia="仿宋_GB2312" w:cs="仿宋_GB2312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</w:rPr>
        <w:t>号）等文件要求，科技厅研究制定了《四川省重点实验室考核评估规则》《四川省重点实验室考核评估实施细则》等考评系列规范，现印发给你们，请认真贯彻执行。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76" w:lineRule="atLeast"/>
        <w:ind w:left="0" w:right="0" w:firstLine="640"/>
        <w:rPr>
          <w:sz w:val="21"/>
          <w:szCs w:val="21"/>
          <w:shd w:val="clear" w:color="auto" w:fill="auto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  <w:lang w:val="en-US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76" w:lineRule="atLeast"/>
        <w:ind w:left="0" w:right="0" w:firstLine="640"/>
        <w:rPr>
          <w:sz w:val="21"/>
          <w:szCs w:val="21"/>
          <w:shd w:val="clear" w:color="auto" w:fill="auto"/>
        </w:rPr>
      </w:pPr>
      <w:r>
        <w:rPr>
          <w:rFonts w:hint="default" w:ascii="仿宋_GB2312" w:hAnsi="Arial" w:eastAsia="仿宋_GB2312" w:cs="仿宋_GB2312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</w:rPr>
        <w:t>附件：</w:t>
      </w: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  <w:lang w:val="en-US"/>
        </w:rPr>
        <w:t>1.</w:t>
      </w:r>
      <w:r>
        <w:rPr>
          <w:rFonts w:hint="default" w:ascii="仿宋_GB2312" w:hAnsi="Arial" w:eastAsia="仿宋_GB2312" w:cs="仿宋_GB2312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</w:rPr>
        <w:t>四川省重点实验室考核评估规则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76" w:lineRule="atLeast"/>
        <w:ind w:left="0" w:right="0" w:firstLine="1600"/>
        <w:rPr>
          <w:sz w:val="21"/>
          <w:szCs w:val="21"/>
          <w:shd w:val="clear" w:color="auto" w:fill="auto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  <w:lang w:val="en-US"/>
        </w:rPr>
        <w:t>2.</w:t>
      </w:r>
      <w:r>
        <w:rPr>
          <w:rFonts w:hint="default" w:ascii="仿宋_GB2312" w:hAnsi="Arial" w:eastAsia="仿宋_GB2312" w:cs="仿宋_GB2312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</w:rPr>
        <w:t>四川省重点实验室考核评估实施细则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76" w:lineRule="atLeast"/>
        <w:ind w:left="0" w:right="0" w:firstLine="1600"/>
        <w:rPr>
          <w:sz w:val="21"/>
          <w:szCs w:val="21"/>
          <w:shd w:val="clear" w:color="auto" w:fill="auto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  <w:lang w:val="en-US"/>
        </w:rPr>
        <w:t>3.</w:t>
      </w:r>
      <w:r>
        <w:rPr>
          <w:rFonts w:hint="default" w:ascii="仿宋_GB2312" w:hAnsi="Arial" w:eastAsia="仿宋_GB2312" w:cs="仿宋_GB2312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</w:rPr>
        <w:t>四川省重点实验室考核评估指标体系（学科类）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76" w:lineRule="atLeast"/>
        <w:ind w:left="0" w:right="0" w:firstLine="1600"/>
        <w:rPr>
          <w:sz w:val="21"/>
          <w:szCs w:val="21"/>
          <w:shd w:val="clear" w:color="auto" w:fill="auto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  <w:lang w:val="en-US"/>
        </w:rPr>
        <w:t>4.</w:t>
      </w:r>
      <w:r>
        <w:rPr>
          <w:rFonts w:hint="default" w:ascii="仿宋_GB2312" w:hAnsi="Arial" w:eastAsia="仿宋_GB2312" w:cs="仿宋_GB2312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</w:rPr>
        <w:t>四川省重点实验室考核评估指标体系（企业类）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76" w:lineRule="atLeast"/>
        <w:ind w:left="0" w:right="0" w:firstLine="640"/>
        <w:rPr>
          <w:sz w:val="21"/>
          <w:szCs w:val="21"/>
          <w:shd w:val="clear" w:color="auto" w:fill="auto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  <w:lang w:val="en-US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76" w:lineRule="atLeast"/>
        <w:ind w:left="0" w:right="640" w:firstLine="640"/>
        <w:jc w:val="right"/>
        <w:rPr>
          <w:sz w:val="21"/>
          <w:szCs w:val="21"/>
          <w:shd w:val="clear" w:color="auto" w:fill="auto"/>
        </w:rPr>
      </w:pPr>
      <w:r>
        <w:rPr>
          <w:rFonts w:hint="default" w:ascii="仿宋_GB2312" w:hAnsi="Arial" w:eastAsia="仿宋_GB2312" w:cs="仿宋_GB2312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</w:rPr>
        <w:t>四川省科学技术厅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576" w:lineRule="atLeast"/>
        <w:ind w:left="0" w:right="640" w:firstLine="640"/>
        <w:jc w:val="right"/>
        <w:rPr>
          <w:shd w:val="clear" w:color="auto" w:fill="auto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  <w:lang w:val="en-US"/>
        </w:rPr>
        <w:t>2018</w:t>
      </w:r>
      <w:r>
        <w:rPr>
          <w:rFonts w:hint="default" w:ascii="仿宋_GB2312" w:hAnsi="Arial" w:eastAsia="仿宋_GB2312" w:cs="仿宋_GB2312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</w:rPr>
        <w:t>年</w:t>
      </w: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  <w:lang w:val="en-US"/>
        </w:rPr>
        <w:t>11</w:t>
      </w:r>
      <w:r>
        <w:rPr>
          <w:rFonts w:hint="default" w:ascii="仿宋_GB2312" w:hAnsi="Arial" w:eastAsia="仿宋_GB2312" w:cs="仿宋_GB2312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</w:rPr>
        <w:t>月</w:t>
      </w: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  <w:lang w:val="en-US"/>
        </w:rPr>
        <w:t>27</w:t>
      </w:r>
      <w:r>
        <w:rPr>
          <w:rFonts w:hint="default" w:ascii="仿宋_GB2312" w:hAnsi="Arial" w:eastAsia="仿宋_GB2312" w:cs="仿宋_GB2312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color="auto" w:fill="auto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A5376E"/>
    <w:rsid w:val="033D1844"/>
    <w:rsid w:val="03EC2B8E"/>
    <w:rsid w:val="14A64AAD"/>
    <w:rsid w:val="20F432FC"/>
    <w:rsid w:val="3BA5376E"/>
    <w:rsid w:val="3EDA02D1"/>
    <w:rsid w:val="4B512FBD"/>
    <w:rsid w:val="6C1B4CC6"/>
    <w:rsid w:val="6D535020"/>
    <w:rsid w:val="6FBD5C4B"/>
    <w:rsid w:val="719C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2018-11-29T09:27:00Z</dcterms:created>
  <dc:creator>Administrator</dc:creator>
  <cp:lastModifiedBy>Administrator</cp:lastModifiedBy>
  <dcterms:modified xsi:type="dcterms:W3CDTF">2018-11-29T09:31:11Z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