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center"/>
        <w:rPr>
          <w:rFonts w:ascii="方正小标宋简体" w:hAnsi="宋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四川省农村发展研究中心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2019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年项目申报指南</w:t>
      </w:r>
    </w:p>
    <w:p>
      <w:pPr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项目指南所列条目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仅</w:t>
      </w:r>
      <w:r>
        <w:rPr>
          <w:rFonts w:hint="eastAsia" w:ascii="仿宋" w:hAnsi="仿宋" w:eastAsia="仿宋" w:cs="仿宋"/>
          <w:kern w:val="0"/>
          <w:sz w:val="28"/>
          <w:szCs w:val="28"/>
        </w:rPr>
        <w:t>为申报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重点项目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提供选题依据，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申报一般项目和青年项目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可以自拟题目。经中心学术委员会拟定并审议通过，中心</w:t>
      </w:r>
      <w:r>
        <w:rPr>
          <w:rFonts w:ascii="仿宋" w:hAnsi="仿宋" w:eastAsia="仿宋" w:cs="仿宋"/>
          <w:kern w:val="0"/>
          <w:sz w:val="28"/>
          <w:szCs w:val="28"/>
        </w:rPr>
        <w:t>2019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年度项目的重点研究课题或方向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乡村振兴背景下四川农村集体建设用地改革研究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color w:val="auto"/>
          <w:sz w:val="28"/>
          <w:szCs w:val="28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四川农村集体经济发展研究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3.四川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现代农业产业体系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4.四川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现代农业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5.四川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现代农业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经营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政府、企业、农户多主体行为与农业绿色发展研究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pacing w:val="-6"/>
          <w:sz w:val="28"/>
          <w:szCs w:val="28"/>
        </w:rPr>
        <w:t>新型经营主体促进小农户与现代农业有机衔接的机制创新研究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农业职业经理人队伍提升发展的路径与对策研究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促进四川城乡要素流动机制研究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四川农村劳动力流动与转移人口市民化机制研究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.农村人才回流路径及机制探究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乡村振兴战略中的四川农村社区治理现代化研究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新型农村社区的空间重构与治理路径研究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四川农村绿色发展与补偿机制研究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四川重要流域多元化生态补偿机制研究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四川农村生态建设与环境治理机制研究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 xml:space="preserve">农村人居环境整治问题及路径研究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四川深度贫困区农户生计可持续发展模式与实现路径研究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农村金融服务四川乡村振兴战略研究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农民合作社财政资金支持方式与使用绩效研究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.服务乡村振兴战略的农业保险创新研究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.乡村振兴背景下农业农村投融资体制机制创新研究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5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fndxh</cp:lastModifiedBy>
  <dcterms:modified xsi:type="dcterms:W3CDTF">2019-01-21T00:56:57Z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